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6" w:rsidRPr="001702AD" w:rsidRDefault="00B92CD6" w:rsidP="001702AD">
      <w:pPr>
        <w:pStyle w:val="rozdzial"/>
      </w:pPr>
      <w:r w:rsidRPr="00C127F1">
        <w:t xml:space="preserve">Przedmiotowy system oceniania </w:t>
      </w:r>
    </w:p>
    <w:p w:rsidR="00B92CD6" w:rsidRPr="00C127F1" w:rsidRDefault="00B92CD6" w:rsidP="00B92CD6">
      <w:pPr>
        <w:pStyle w:val="rdtytuzkwadratemgranatowym"/>
        <w:numPr>
          <w:ilvl w:val="0"/>
          <w:numId w:val="1"/>
        </w:numPr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913A52" w:rsidRDefault="00B92CD6" w:rsidP="00913A52">
      <w:pPr>
        <w:rPr>
          <w:rStyle w:val="ui-provider"/>
          <w:lang w:eastAsia="pl-PL"/>
        </w:rPr>
      </w:pPr>
      <w:r w:rsidRPr="00372F93">
        <w:rPr>
          <w:rFonts w:ascii="Times New Roman" w:hAnsi="Times New Roman"/>
          <w:sz w:val="20"/>
          <w:szCs w:val="20"/>
        </w:rPr>
        <w:t>4.</w:t>
      </w:r>
      <w:r w:rsidR="00913A52" w:rsidRPr="00913A52">
        <w:rPr>
          <w:rStyle w:val="ui-provider"/>
          <w:rFonts w:ascii="Times New Roman" w:hAnsi="Times New Roman"/>
          <w:sz w:val="20"/>
          <w:szCs w:val="20"/>
        </w:rPr>
        <w:t>Ocenę celującą otrzymuje uczeń, który opanował wszystkie treści z podstawy programowej oraz rozwiązuje zadania o wysokim stopniu trudności.</w:t>
      </w:r>
      <w:r w:rsidR="00913A52">
        <w:rPr>
          <w:rStyle w:val="ui-provider"/>
        </w:rPr>
        <w:t> 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wybiera właściwe przyrządy pomiarowe </w:t>
            </w:r>
            <w:r w:rsidRPr="00C127F1">
              <w:lastRenderedPageBreak/>
              <w:t>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rożróżnia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 xml:space="preserve">czym </w:t>
            </w:r>
            <w:r w:rsidRPr="0011106B">
              <w:lastRenderedPageBreak/>
              <w:t>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podwielokrotności (mikro-, mili-, centy-, hekto-,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stosuje pojącie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lastRenderedPageBreak/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</w:t>
            </w:r>
            <w:r w:rsidRPr="00C127F1">
              <w:t>e</w:t>
            </w:r>
            <w:r w:rsidRPr="00C127F1">
              <w:t>kluczowe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</w:t>
            </w:r>
            <w:r w:rsidRPr="00C127F1">
              <w:lastRenderedPageBreak/>
              <w:t xml:space="preserve">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temperatura,czas)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klasyfikuje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selekcjonuje informacje uzyskane z różnych </w:t>
            </w:r>
            <w:r w:rsidRPr="00C127F1">
              <w:lastRenderedPageBreak/>
              <w:t xml:space="preserve">źródeł, np. na lekcji, z podręcznika, z literatury popularnonaukowej, z internetu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podaje przykłady rodzajów i skutków </w:t>
            </w:r>
            <w:r w:rsidRPr="00C127F1">
              <w:lastRenderedPageBreak/>
              <w:t>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mierzy: długość, masę, objętość cieczy; </w:t>
            </w:r>
            <w:r w:rsidRPr="00C127F1">
              <w:lastRenderedPageBreak/>
              <w:t>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analizuje różnice gęstości (ułożenia cząsteczek) </w:t>
            </w:r>
            <w:r w:rsidRPr="00C127F1">
              <w:lastRenderedPageBreak/>
              <w:t>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 w:rsidRPr="00C127F1">
              <w:t xml:space="preserve">masą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podwielokrotności (mikro-, mili-, centy-, dm-,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</w:t>
            </w:r>
            <w:r w:rsidRPr="00C127F1">
              <w:lastRenderedPageBreak/>
              <w:t xml:space="preserve">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na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lastRenderedPageBreak/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lastRenderedPageBreak/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posługuje się prawem Pascala, zgodnie z którym zwiększenie ciśnienia zewnętrznego </w:t>
            </w:r>
            <w:r w:rsidRPr="00C127F1">
              <w:lastRenderedPageBreak/>
              <w:t>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podwielokrotności (centy-, hekto-,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lastRenderedPageBreak/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</w:t>
            </w:r>
            <w:r w:rsidRPr="00C127F1">
              <w:t>e</w:t>
            </w:r>
            <w:r w:rsidRPr="00C127F1">
              <w:t>niem, parciem i polem powierzchni, związku między ciśnieniem hydrostatycznym a wysokością słupa cieczy i jej gęstością, prawa Pascala, prawa Archimedesa, warunków pł</w:t>
            </w:r>
            <w:r w:rsidRPr="00C127F1">
              <w:t>y</w:t>
            </w:r>
            <w:r w:rsidRPr="00C127F1">
              <w:t>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rysuje siły działające na ciało, które pływa w cieczy, tkwi w niej zanurzone lub tonie; </w:t>
            </w:r>
            <w:r w:rsidRPr="00C127F1">
              <w:lastRenderedPageBreak/>
              <w:t>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tympopularnonaukowych) dotyczących ciśnienia hydrostatycznego i atmosferycznego oraz prawa Archimed</w:t>
            </w:r>
            <w:r w:rsidRPr="00C127F1">
              <w:t>e</w:t>
            </w:r>
            <w:r w:rsidRPr="00C127F1">
              <w:t>sa, a w szczególności informacjami poch</w:t>
            </w:r>
            <w:r w:rsidRPr="00C127F1">
              <w:t>o</w:t>
            </w:r>
            <w:r w:rsidRPr="00C127F1">
              <w:t xml:space="preserve">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 xml:space="preserve">mi z analizy przeczytanych tekstów </w:t>
            </w:r>
            <w:r w:rsidRPr="00C127F1">
              <w:lastRenderedPageBreak/>
              <w:t>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przelicza wielokrotności i podwielokrotności </w:t>
            </w:r>
            <w:r w:rsidRPr="00C127F1">
              <w:lastRenderedPageBreak/>
              <w:t>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>nostki; oblicza i zapisuje wynik zgodnie z zasadami zaokrąglania oraz zachowaniem liczby cyfr znaczących wynikającej 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wyznacza wartość prędkości i drogę z wykresów zależności prędkości i drogi od czasu dla ruchu prostoliniowego odcinkami jednostajnego oraz rysuje te wykresy </w:t>
            </w:r>
            <w:r w:rsidRPr="00C127F1">
              <w:lastRenderedPageBreak/>
              <w:t>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rośnieje</w:t>
            </w:r>
            <w:r w:rsidRPr="00C127F1">
              <w:t>d</w:t>
            </w:r>
            <w:r w:rsidRPr="00C127F1">
              <w:t>nostkowych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866854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854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lastRenderedPageBreak/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 xml:space="preserve">ci </w:t>
            </w:r>
            <w:r w:rsidRPr="0011106B">
              <w:lastRenderedPageBreak/>
              <w:t>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66854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854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866854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854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866854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854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866854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854" w:rsidRPr="00985093">
              <w:fldChar w:fldCharType="end"/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>R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lastRenderedPageBreak/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analizuje wykres zależności prędkości od czasu dla ruchu prostoliniowego je</w:t>
            </w:r>
            <w:r w:rsidRPr="00C127F1">
              <w:t>d</w:t>
            </w:r>
            <w:r w:rsidRPr="00C127F1"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lastRenderedPageBreak/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lastRenderedPageBreak/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 xml:space="preserve">korzystając z opisów doświadczeń </w:t>
            </w:r>
            <w:r w:rsidRPr="00C127F1">
              <w:lastRenderedPageBreak/>
              <w:t>i przestrzegając zasad bezpieczeństwa; zapis</w:t>
            </w:r>
            <w:r w:rsidRPr="00C127F1">
              <w:t>u</w:t>
            </w:r>
            <w:r w:rsidRPr="00C127F1">
              <w:t>je wyniki pomiarów wraz z ich jednostkami orazz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wyznacza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podaje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lastRenderedPageBreak/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t>(z wykorzystaniem: pierwszej zasady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866854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854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866854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>nek działającej na ciało siły jest zgodny 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lastRenderedPageBreak/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866854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854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lastRenderedPageBreak/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866854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854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lastRenderedPageBreak/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wykazuje,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>R</w:t>
            </w:r>
            <w:r w:rsidRPr="00C127F1">
              <w:t>geometryczną interpretację pracy) 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 xml:space="preserve">Praca,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lastRenderedPageBreak/>
              <w:t>moc, energia</w:t>
            </w:r>
            <w:r w:rsidRPr="00C127F1">
              <w:t>)</w:t>
            </w:r>
          </w:p>
        </w:tc>
      </w:tr>
      <w:tr w:rsidR="00791A66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posługuje się tabelami wielkości fizycznych </w:t>
            </w:r>
            <w:r w:rsidRPr="00C127F1">
              <w:lastRenderedPageBreak/>
              <w:t>w celu odszukania temperatury topnienia i temperatury wrzenia oraz</w:t>
            </w:r>
            <w:r w:rsidRPr="00C127F1">
              <w:rPr>
                <w:vertAlign w:val="superscript"/>
              </w:rPr>
              <w:t>R</w:t>
            </w:r>
            <w:r w:rsidRPr="00C127F1">
              <w:t>ciepła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ciepła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nieobliczeniowe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>– związane z energią wewnętrzną 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 xml:space="preserve">c nad nim </w:t>
            </w:r>
            <w:r w:rsidRPr="0011106B">
              <w:lastRenderedPageBreak/>
              <w:t>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866854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66854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 xml:space="preserve">zasadami </w:t>
            </w:r>
            <w:r w:rsidRPr="0011106B">
              <w:lastRenderedPageBreak/>
              <w:t>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9C60D0" w:rsidRDefault="00791A66" w:rsidP="001702AD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</w:t>
            </w:r>
            <w:r w:rsidRPr="00716E2D">
              <w:t>wyodrębnia z tekstów, tabel i rysunków info</w:t>
            </w:r>
            <w:r w:rsidRPr="00716E2D">
              <w:t>r</w:t>
            </w:r>
            <w:r w:rsidRPr="00716E2D">
              <w:lastRenderedPageBreak/>
              <w:t>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ilościpobranego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rysuje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wyjaśnia, co dzieje się z energią pobieraną </w:t>
            </w:r>
            <w:r w:rsidRPr="00C127F1">
              <w:lastRenderedPageBreak/>
              <w:t>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posługuje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27F1">
              <w:t xml:space="preserve"> oraz wzorów na </w:t>
            </w:r>
            <w:r w:rsidRPr="00C127F1">
              <w:rPr>
                <w:vertAlign w:val="superscript"/>
              </w:rPr>
              <w:t>R</w:t>
            </w:r>
            <w:r w:rsidRPr="00C127F1">
              <w:t>ciepło topnienia i </w:t>
            </w:r>
            <w:r w:rsidRPr="00C127F1">
              <w:rPr>
                <w:vertAlign w:val="superscript"/>
              </w:rPr>
              <w:t>R</w:t>
            </w:r>
            <w:r w:rsidRPr="00C127F1">
              <w:t>ciepło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 xml:space="preserve">dziennym) przewodnictwa cieplnego </w:t>
            </w:r>
            <w:r w:rsidRPr="00C127F1">
              <w:lastRenderedPageBreak/>
              <w:t>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 xml:space="preserve">a wszczególności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sporządza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512715" w:rsidRPr="001702AD" w:rsidRDefault="00512715" w:rsidP="00AA4615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512715" w:rsidRPr="001702AD" w:rsidSect="00E35AE6">
      <w:headerReference w:type="default" r:id="rId15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A8" w:rsidRDefault="00BB3AA8" w:rsidP="00BD0596">
      <w:r>
        <w:separator/>
      </w:r>
    </w:p>
  </w:endnote>
  <w:endnote w:type="continuationSeparator" w:id="1">
    <w:p w:rsidR="00BB3AA8" w:rsidRDefault="00BB3AA8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A8" w:rsidRDefault="00BB3AA8" w:rsidP="00BD0596">
      <w:r>
        <w:separator/>
      </w:r>
    </w:p>
  </w:footnote>
  <w:footnote w:type="continuationSeparator" w:id="1">
    <w:p w:rsidR="00BB3AA8" w:rsidRDefault="00BB3AA8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96" w:rsidRDefault="00866854">
    <w:pPr>
      <w:pStyle w:val="Nagwek"/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2050" type="#_x0000_t202" style="position:absolute;margin-left:-.15pt;margin-top:27.8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" fillcolor="#002060" stroked="f">
          <v:textbox inset=",0,,0">
            <w:txbxContent>
              <w:p w:rsidR="00BD0596" w:rsidRPr="00A65C11" w:rsidRDefault="00866854" w:rsidP="00BD0596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 xml:space="preserve">PAGE   </w:instrText>
                </w:r>
                <w:r w:rsidR="00BD0596" w:rsidRPr="0084584B">
                  <w:rPr>
                    <w:rFonts w:ascii="Calibri" w:hAnsi="Calibri" w:cs="Calibri"/>
                    <w:b/>
                    <w:sz w:val="16"/>
                    <w:szCs w:val="16"/>
                  </w:rPr>
                  <w:instrText>\</w:instrText>
                </w:r>
                <w:r w:rsidR="00BD0596"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instrText>* MERGEFORMAT</w:instrTex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4015B7" w:rsidRPr="004015B7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17</w:t>
                </w:r>
                <w:r w:rsidRPr="00A65C11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pl-PL" w:eastAsia="pl-PL"/>
      </w:rPr>
      <w:pict>
        <v:shape id="Pole tekstowe 473" o:spid="_x0000_s2049" type="#_x0000_t202" style="position:absolute;margin-left:35.9pt;margin-top:27.9pt;width:122.9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" fillcolor="#b1c903" stroked="f">
          <v:textbox inset=",0,,0">
            <w:txbxContent>
              <w:p w:rsidR="00BD0596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Przedmiotowy system oceniania</w:t>
                </w:r>
              </w:p>
              <w:p w:rsidR="00BD0596" w:rsidRPr="00A65C11" w:rsidRDefault="00BD0596" w:rsidP="00BD0596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  <w:p w:rsidR="00BD0596" w:rsidRDefault="00BD05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122AB9"/>
    <w:rsid w:val="001702AD"/>
    <w:rsid w:val="00272901"/>
    <w:rsid w:val="002B11B2"/>
    <w:rsid w:val="00365356"/>
    <w:rsid w:val="00372F93"/>
    <w:rsid w:val="003949A2"/>
    <w:rsid w:val="004015B7"/>
    <w:rsid w:val="00512715"/>
    <w:rsid w:val="005222FB"/>
    <w:rsid w:val="00556787"/>
    <w:rsid w:val="005C0F60"/>
    <w:rsid w:val="005C330A"/>
    <w:rsid w:val="005E72D7"/>
    <w:rsid w:val="0060697A"/>
    <w:rsid w:val="006233D8"/>
    <w:rsid w:val="00760232"/>
    <w:rsid w:val="00791A66"/>
    <w:rsid w:val="00866854"/>
    <w:rsid w:val="00885CAA"/>
    <w:rsid w:val="00902585"/>
    <w:rsid w:val="009027AB"/>
    <w:rsid w:val="00913A52"/>
    <w:rsid w:val="00990B1B"/>
    <w:rsid w:val="009C60D0"/>
    <w:rsid w:val="00A65C11"/>
    <w:rsid w:val="00A948B5"/>
    <w:rsid w:val="00AA4615"/>
    <w:rsid w:val="00AF6613"/>
    <w:rsid w:val="00B374D0"/>
    <w:rsid w:val="00B52C19"/>
    <w:rsid w:val="00B74762"/>
    <w:rsid w:val="00B92CD6"/>
    <w:rsid w:val="00BB3AA8"/>
    <w:rsid w:val="00BD0596"/>
    <w:rsid w:val="00BF1C18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854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8668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866854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866854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866854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866854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866854"/>
    <w:pPr>
      <w:jc w:val="center"/>
    </w:pPr>
  </w:style>
  <w:style w:type="character" w:customStyle="1" w:styleId="dzial-B">
    <w:name w:val="dzial-B"/>
    <w:uiPriority w:val="99"/>
    <w:rsid w:val="00866854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  <w:style w:type="character" w:customStyle="1" w:styleId="ui-provider">
    <w:name w:val="ui-provider"/>
    <w:basedOn w:val="Domylnaczcionkaakapitu"/>
    <w:rsid w:val="00913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F3226-0EA1-43EA-B37F-CAEFBF07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7092</Words>
  <Characters>42557</Characters>
  <Application>Microsoft Office Word</Application>
  <DocSecurity>0</DocSecurity>
  <Lines>354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Monika Zdzymira</cp:lastModifiedBy>
  <cp:revision>2</cp:revision>
  <dcterms:created xsi:type="dcterms:W3CDTF">2023-09-11T15:36:00Z</dcterms:created>
  <dcterms:modified xsi:type="dcterms:W3CDTF">2023-09-11T15:36:00Z</dcterms:modified>
</cp:coreProperties>
</file>